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A1F3E"/>
          <w:sz w:val="56"/>
        </w:rPr>
        <w:t>REAL FREQUENCY</w:t>
      </w:r>
    </w:p>
    <w:p>
      <w:pPr>
        <w:jc w:val="center"/>
      </w:pPr>
      <w:r>
        <w:rPr>
          <w:rFonts w:ascii="Calibri" w:hAnsi="Calibri"/>
          <w:color w:val="C05520"/>
          <w:sz w:val="28"/>
        </w:rPr>
        <w:t>Educational Transition Markets — Strategic Analysis</w:t>
      </w:r>
    </w:p>
    <w:p/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6"/>
        </w:rPr>
        <w:t>EXECUTIVE SUMMARY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 w:val="0"/>
          <w:color w:val="1A1A2E"/>
          <w:sz w:val="22"/>
        </w:rPr>
        <w:br/>
        <w:t>Real Frequency's core insight — fit-first, cohort-based advising — is not limited to the high school-to-college transition. The same structural problem exists across every major educational transition point in the American system:</w:t>
        <w:br/>
        <w:br/>
        <w:t xml:space="preserve">  • Community college students trying to transfer to a 4-year university</w:t>
        <w:br/>
        <w:t xml:space="preserve">  • College graduates applying to medical school</w:t>
        <w:br/>
        <w:t xml:space="preserve">  • College graduates applying to law school</w:t>
        <w:br/>
        <w:t xml:space="preserve">  • College graduates applying to MBA programs</w:t>
        <w:br/>
        <w:t xml:space="preserve">  • Students completing PhDs</w:t>
        <w:br/>
        <w:br/>
        <w:t>In every case: the process is high-stakes, the student is isolated, the information is overwhelming, and the existing solutions are either free-but-useless or expensive-1-on-1-without-community.</w:t>
        <w:br/>
        <w:br/>
        <w:t>The cohort model and the fit-first philosophy are directly portable to each of these transitions. The market opportunity across all four expansion paths is: $13.9M/year at scale with 960 new students per year and a 3,840-person active alumni network.</w:t>
        <w:br/>
      </w:r>
    </w:p>
    <w:p/>
    <w:p>
      <w:r>
        <w:rPr>
          <w:rFonts w:ascii="Calibri" w:hAnsi="Calibri"/>
          <w:b/>
          <w:color w:val="C05520"/>
          <w:sz w:val="26"/>
        </w:rPr>
        <w:t>MARKET 1: 2-YEAR → 4-YEAR TRANSFER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2"/>
        </w:rPr>
        <w:t>THE TRANSFER PROBLEM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Community college students enrolled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10,000,000/year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Intend to transfer to 4-year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4,000,000/year (40%)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Successfully transfer within 6 years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720,000/year (18%)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Lost to attrition per year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3,280,000 — the transfer gap</w:t>
            </w:r>
          </w:p>
        </w:tc>
      </w:tr>
    </w:tbl>
    <w:p/>
    <w:p>
      <w:r>
        <w:rPr>
          <w:rFonts w:ascii="Calibri" w:hAnsi="Calibri"/>
          <w:b/>
          <w:color w:val="C05520"/>
          <w:sz w:val="22"/>
        </w:rPr>
        <w:t>WHY STUDENTS FAIL TO TRANSFER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Credit loss: Average student loses 30–60 credits in transfer — the single biggest motivation killer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Major uncertainty: Students don't know which major at their target school will accept their existing credits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Application paralysis: Application windows reopen, deadlines are missed, the process is never clear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Identity crisis: 'I only went to community college' — imposter syndrome is a real and documented barrier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Financial aid: Transfer students often lose institutional aid and don't know how to re-apply for it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No community: The friends and support system at CC disappear when you transfer — no cohort model exists</w:t>
      </w:r>
    </w:p>
    <w:p/>
    <w:p>
      <w:r>
        <w:rPr>
          <w:rFonts w:ascii="Calibri" w:hAnsi="Calibri"/>
          <w:b/>
          <w:color w:val="C05520"/>
          <w:sz w:val="22"/>
        </w:rPr>
        <w:t>EXISTING COMPETITIVE LANDSCAPE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Competitor Type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Gap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Free community college advising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 advisor per 800–1,200 students. Severely under-resourced. No strategy, just processing.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Transfer articulation platforms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Focus on credit evaluation math, not admissions strategy or student confidence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1-on-1 transfer consultants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$3K–$8K, fragmented, no national brand leader, no community model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Local transfer coaches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$100–$300/hr, small, relationship-based, no scalability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Cappex / CollegeVine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Free content and tools. Not coaching. Not community. Not a program.</w:t>
            </w:r>
          </w:p>
        </w:tc>
      </w:tr>
    </w:tbl>
    <w:p/>
    <w:p>
      <w:r>
        <w:rPr>
          <w:rFonts w:ascii="Calibri" w:hAnsi="Calibri"/>
          <w:b/>
          <w:color w:val="C05520"/>
          <w:sz w:val="22"/>
        </w:rPr>
        <w:t>RF PRODUCT: "THE TRANSFER"</w:t>
      </w:r>
    </w:p>
    <w:p>
      <w:r>
        <w:rPr>
          <w:rFonts w:ascii="Calibri" w:hAnsi="Calibri"/>
          <w:b w:val="0"/>
          <w:color w:val="1A1A2E"/>
          <w:sz w:val="22"/>
        </w:rPr>
        <w:br/>
        <w:t>Program:        6-month rolling cohort, 12–16 students</w:t>
        <w:br/>
        <w:t>Content:        Major clarity → School selection → Application → Credit preservation → Transition support</w:t>
        <w:br/>
        <w:t>Sessions:       Bi-weekly group sessions + monthly 1-on-1 advisor check-ins</w:t>
        <w:br/>
        <w:t>Outcome:        Enrolled at 4-year with maximum credits preserved</w:t>
        <w:br/>
        <w:br/>
        <w:t>Key differentiator: The cohort community. No other transfer program has a peer cohort model.</w:t>
        <w:br/>
        <w:t>Transfer students are some of the most isolated, anxious students in higher ed — a cohort</w:t>
        <w:br/>
        <w:t>gives them community through the process AND alumni they enter the 4-year school with.</w:t>
        <w:br/>
      </w:r>
    </w:p>
    <w:p/>
    <w:p>
      <w:r>
        <w:rPr>
          <w:rFonts w:ascii="Calibri" w:hAnsi="Calibri"/>
          <w:b/>
          <w:color w:val="C05520"/>
          <w:sz w:val="22"/>
        </w:rPr>
        <w:t>REVENUE SCENARIOS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 × Size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Price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Revenue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1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4 × 16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$5,000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$320,000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8 × 16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$5,000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$640,000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2+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8 × 16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$7,500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$960,000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3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12 × 16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$7,500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$1,440,000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3+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16 × 16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$8,000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$2,048,000</w:t>
            </w:r>
          </w:p>
        </w:tc>
      </w:tr>
    </w:tbl>
    <w:p/>
    <w:p>
      <w:r>
        <w:rPr>
          <w:rFonts w:ascii="Calibri" w:hAnsi="Calibri"/>
          <w:b/>
          <w:color w:val="C05520"/>
          <w:sz w:val="26"/>
        </w:rPr>
        <w:t>MARKET 2: BACHELOR'S → MEDICAL SCHOOL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2"/>
        </w:rPr>
        <w:t>THE MEDICAL SCHOOL PROBLEM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MCAT test-takers/year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90,000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MD applicants/year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62,000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Admitted to ≥1 MD program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22,000 (35%)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Actually enrolled in MD programs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21,500/year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Overall acceptance rate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23.9% — but concentrated at top schools</w:t>
            </w:r>
          </w:p>
        </w:tc>
      </w:tr>
    </w:tbl>
    <w:p/>
    <w:p>
      <w:r>
        <w:rPr>
          <w:rFonts w:ascii="Calibri" w:hAnsi="Calibri"/>
          <w:b/>
          <w:color w:val="C05520"/>
          <w:sz w:val="22"/>
        </w:rPr>
        <w:t>WHY QUALIFIED STUDENTS GET REJECTED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School selection strategy: Applying to 15+ schools without a fit-based list = wasted applications and interviews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Personal statement: Most pre-meds write 'why medicine' — not 'why me, specifically, at this program'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Secondary essays: 10–20 school-specific essays, each requiring a different strategic angle, all due within weeks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MMI interview prep: Multiple Mini Interviews are a learnable skill set — almost no one teaches it systematically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Holistic fit: Admissions committees care about mission alignment and lived experience — pre-meds don't know this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Clinical narrative: What counts as meaningful clinical exposure and how to tell that story coherently</w:t>
      </w:r>
    </w:p>
    <w:p/>
    <w:p>
      <w:r>
        <w:rPr>
          <w:rFonts w:ascii="Calibri" w:hAnsi="Calibri"/>
          <w:b/>
          <w:color w:val="C05520"/>
          <w:sz w:val="22"/>
        </w:rPr>
        <w:t>EXISTING COMPETITIVE LANDSCAPE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Competitor Type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Gap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Kaplan Med / Princeton Review Med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Test prep focus. LSAT/MCAT drills. Zero admissions strategy.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MedSchoolHQ / Student Doctor Network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Free forums. Community chaos. No coaching. No program.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Accepted.com med advising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$3K–$12K 1-on-1. Good quality. No cohort. No peer community.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MedMasters Podcast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Content brand. Not a service. No program structure.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Individual med school advisors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$200–$500/hr. Fragmented. Local. No national brand leader.</w:t>
            </w:r>
          </w:p>
        </w:tc>
      </w:tr>
    </w:tbl>
    <w:p/>
    <w:p>
      <w:r>
        <w:rPr>
          <w:rFonts w:ascii="Calibri" w:hAnsi="Calibri"/>
          <w:b/>
          <w:color w:val="C05520"/>
          <w:sz w:val="22"/>
        </w:rPr>
        <w:t>RF PRODUCT: "MEDFIT"</w:t>
      </w:r>
    </w:p>
    <w:p>
      <w:r>
        <w:rPr>
          <w:rFonts w:ascii="Calibri" w:hAnsi="Calibri"/>
          <w:b w:val="0"/>
          <w:color w:val="1A1A2E"/>
          <w:sz w:val="22"/>
        </w:rPr>
        <w:br/>
        <w:t>Program:        12-month rolling cohort, 12 students (more intensive than undergrad)</w:t>
        <w:br/>
        <w:t>Content:        School selection strategy → Personal statement → Secondary essays → MMI interview prep</w:t>
        <w:br/>
        <w:t>Sessions:       Weekly group sessions + monthly 1-on-1 advisor</w:t>
        <w:br/>
        <w:t>Differentiator: Fit-first, NOT 'how to get into Johns Hopkins.' The goal is: which MD program</w:t>
        <w:br/>
        <w:t xml:space="preserve">                 will this student actually thrive in — and how do we get them there.</w:t>
        <w:br/>
        <w:br/>
        <w:t>Pricing:        $10,000–$15,000 standard MD track | $18,000–$25,000 top-20 strategy track</w:t>
        <w:br/>
        <w:t xml:space="preserve">                DO-specific track: $8,000–$12,000 | MCAT + admissions bundle: $20,000–$30,000</w:t>
        <w:br/>
      </w:r>
    </w:p>
    <w:p/>
    <w:p>
      <w:r>
        <w:rPr>
          <w:rFonts w:ascii="Calibri" w:hAnsi="Calibri"/>
          <w:b/>
          <w:color w:val="C05520"/>
          <w:sz w:val="22"/>
        </w:rPr>
        <w:t>REVENUE SCENARIOS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 × Size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Price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Revenue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1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2 × 12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$360,000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4 × 12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$720,000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2+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4 × 12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$20,000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$960,000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3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8 × 12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$18,000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$1,728,000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3+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12 × 12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$20,000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$2,880,000</w:t>
            </w:r>
          </w:p>
        </w:tc>
      </w:tr>
    </w:tbl>
    <w:p/>
    <w:p>
      <w:r>
        <w:rPr>
          <w:rFonts w:ascii="Calibri" w:hAnsi="Calibri"/>
          <w:b/>
          <w:color w:val="C05520"/>
          <w:sz w:val="26"/>
        </w:rPr>
        <w:t>MARKET 3: BACHELOR'S → LAW SCHOOL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2"/>
        </w:rPr>
        <w:t>THE LAW SCHOOL PROBLEM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LSAT test-takers/year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175,000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JD applicants/year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65,000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Admitted to law school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~29,250 (45%)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Enrolled in JD programs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45,000/year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Top-14 admission rate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2.5% — the prestige gate is real</w:t>
            </w:r>
          </w:p>
        </w:tc>
      </w:tr>
    </w:tbl>
    <w:p/>
    <w:p>
      <w:r>
        <w:rPr>
          <w:rFonts w:ascii="Calibri" w:hAnsi="Calibri"/>
          <w:b/>
          <w:color w:val="C05520"/>
          <w:sz w:val="22"/>
        </w:rPr>
        <w:t>WHY STUDENTS GET REJECTED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School list construction: Most students apply to the wrong mix of safety/net/target schools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Personal statement: 'Why law?' — 90% of essays answer this generically and get rejected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Diversity essays: 3–5 additional essays per application; students panic and write nothing useful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Letters of recommendation: Getting strong letters from the right professors is a learnable skill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Interview (Yale, Columbia, UChicago): Rare but devastating if unprepared — no one teaches this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The prestige trap: Applying to T14 when a T30 school would be a better career fit is the norm</w:t>
      </w:r>
    </w:p>
    <w:p/>
    <w:p>
      <w:r>
        <w:rPr>
          <w:rFonts w:ascii="Calibri" w:hAnsi="Calibri"/>
          <w:b/>
          <w:color w:val="C05520"/>
          <w:sz w:val="22"/>
        </w:rPr>
        <w:t>RF PRODUCT: "LAWFIT"</w:t>
      </w:r>
    </w:p>
    <w:p>
      <w:r>
        <w:rPr>
          <w:rFonts w:ascii="Calibri" w:hAnsi="Calibri"/>
          <w:b w:val="0"/>
          <w:color w:val="1A1A2E"/>
          <w:sz w:val="22"/>
        </w:rPr>
        <w:br/>
        <w:t>Program:        12-month cohort, 12 students</w:t>
        <w:br/>
        <w:t>Content:        LSAT study strategy → School list construction → PS + diversity essays → Interview prep</w:t>
        <w:br/>
        <w:t>Sessions:       Bi-weekly group + monthly 1-on-1</w:t>
        <w:br/>
        <w:t>Differentiator: Fit-first law school selection. Not 'how to get into Harvard.' Which law school</w:t>
        <w:br/>
        <w:t xml:space="preserve">                 will actually set this student up for the career they want.</w:t>
        <w:br/>
        <w:br/>
        <w:t>Pricing:        $10,000–$15,000 standard | $18,000–$25,000 top-14 strategy</w:t>
        <w:br/>
      </w:r>
    </w:p>
    <w:p/>
    <w:p>
      <w:r>
        <w:rPr>
          <w:rFonts w:ascii="Calibri" w:hAnsi="Calibri"/>
          <w:b/>
          <w:color w:val="C05520"/>
          <w:sz w:val="22"/>
        </w:rPr>
        <w:t>REVENUE SCENARIOS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 × Size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Price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Revenue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1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2 × 12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$12,000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$288,000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4 × 12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$720,000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3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8 × 12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$18,000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$1,728,000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3+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10 × 12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$20,000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$2,400,000</w:t>
            </w:r>
          </w:p>
        </w:tc>
      </w:tr>
    </w:tbl>
    <w:p/>
    <w:p>
      <w:r>
        <w:rPr>
          <w:rFonts w:ascii="Calibri" w:hAnsi="Calibri"/>
          <w:b/>
          <w:color w:val="C05520"/>
          <w:sz w:val="26"/>
        </w:rPr>
        <w:t>MARKET 4: BACHELOR'S → MBA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2"/>
        </w:rPr>
        <w:t>THE MBA ADMISSIONS PROBLEM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MBA applications/year (all programs)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300,000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Enrolled in full-time MBA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130,000/year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Enrolled in Top 50 programs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30,000/year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Avg applications submitted/candidate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5–8 (most waste applications on reach schools)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Market for admissions consulting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$2B+/year globally</w:t>
            </w:r>
          </w:p>
        </w:tc>
      </w:tr>
    </w:tbl>
    <w:p/>
    <w:p>
      <w:r>
        <w:rPr>
          <w:rFonts w:ascii="Calibri" w:hAnsi="Calibri"/>
          <w:b/>
          <w:color w:val="C05520"/>
          <w:sz w:val="22"/>
        </w:rPr>
        <w:t>WHY STRONG CANDIDATES GET REJECTED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Career narrative: What story actually ties your background to your post-MBA goals? Most people guess wrong.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School selection: Which programs fit your actual career goals vs. your ego — GMAT scores don't tell you this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Essays: 'Why this school?' — students answer generically, get rejected generically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Recommendation strategy: Who to ask, how to coach recommenders to write strong letters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Interview: Alumni vs. admissions committee interviews are completely different skills</w:t>
      </w:r>
    </w:p>
    <w:p>
      <w:pPr>
        <w:pStyle w:val="ListBullet"/>
      </w:pPr>
      <w:r>
        <w:rPr>
          <w:rFonts w:ascii="Calibri" w:hAnsi="Calibri"/>
          <w:color w:val="1A1A2E"/>
          <w:sz w:val="20"/>
        </w:rPr>
        <w:t>Scholarship negotiation: Rarely taught. Worth $30K–$80K. Almost no one does it.</w:t>
      </w:r>
    </w:p>
    <w:p/>
    <w:p>
      <w:r>
        <w:rPr>
          <w:rFonts w:ascii="Calibri" w:hAnsi="Calibri"/>
          <w:b/>
          <w:color w:val="C05520"/>
          <w:sz w:val="22"/>
        </w:rPr>
        <w:t>RF PRODUCT: "MBA FIT"</w:t>
      </w:r>
    </w:p>
    <w:p>
      <w:r>
        <w:rPr>
          <w:rFonts w:ascii="Calibri" w:hAnsi="Calibri"/>
          <w:b w:val="0"/>
          <w:color w:val="1A1A2E"/>
          <w:sz w:val="22"/>
        </w:rPr>
        <w:br/>
        <w:t>Program:        12-month cohort, 12 students</w:t>
        <w:br/>
        <w:t>Content:        Narrative strategy → School selection → Essays → Interview → Scholarship negotiation</w:t>
        <w:br/>
        <w:t>Sessions:       Bi-weekly group + monthly 1-on-1</w:t>
        <w:br/>
        <w:t>Differentiator: Fit-first MBA selection. The existing market is dominated by prestige-chasing</w:t>
        <w:br/>
        <w:t xml:space="preserve">                 consultants. RF's angle: which MBA will actually change this person's career.</w:t>
        <w:br/>
        <w:br/>
        <w:t>Pricing:        $12,000–$18,000 standard | $20,000–$30,000 top-20 | $35,000+ elite (H/S/W)</w:t>
        <w:br/>
      </w:r>
    </w:p>
    <w:p/>
    <w:p>
      <w:r>
        <w:rPr>
          <w:rFonts w:ascii="Calibri" w:hAnsi="Calibri"/>
          <w:b/>
          <w:color w:val="C05520"/>
          <w:sz w:val="22"/>
        </w:rPr>
        <w:t>REVENUE SCENARIOS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 × Size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Price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Revenue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1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2 × 12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$360,000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4 × 12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$18,000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$864,000</w:t>
            </w:r>
          </w:p>
        </w:tc>
      </w:tr>
      <w:tr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Year 3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8 × 12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$20,000</w:t>
            </w:r>
          </w:p>
        </w:tc>
        <w:tc>
          <w:tcPr>
            <w:tcW w:type="dxa" w:w="2340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$1,920,000</w:t>
            </w:r>
          </w:p>
        </w:tc>
      </w:tr>
      <w:tr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Year 3+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12 × 12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$25,000</w:t>
            </w:r>
          </w:p>
        </w:tc>
        <w:tc>
          <w:tcPr>
            <w:tcW w:type="dxa" w:w="2340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$3,600,000</w:t>
            </w:r>
          </w:p>
        </w:tc>
      </w:tr>
    </w:tbl>
    <w:p/>
    <w:p>
      <w:r>
        <w:rPr>
          <w:rFonts w:ascii="Calibri" w:hAnsi="Calibri"/>
          <w:b/>
          <w:color w:val="C05520"/>
          <w:sz w:val="26"/>
        </w:rPr>
        <w:t>COMBINED REVENUE POTENTIAL — ALL PRODUCTS AT SCALE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Product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Size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Price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Revenue at Scale</w:t>
            </w:r>
          </w:p>
        </w:tc>
      </w:tr>
      <w:tr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RF Original (HS → College)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$15,000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$7,200,000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The Transfer (CC → 4-yr)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$7,000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$1,344,000</w:t>
            </w:r>
          </w:p>
        </w:tc>
      </w:tr>
      <w:tr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MedFit (MD prep)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$18,000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$1,728,000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LawFit (JD prep)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$18,000</w:t>
            </w:r>
          </w:p>
        </w:tc>
        <w:tc>
          <w:tcPr>
            <w:tcW w:type="dxa" w:w="1872"/>
            <w:shd w:val="clear" w:color="auto" w:fill="FFFFFF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$1,728,000</w:t>
            </w:r>
          </w:p>
        </w:tc>
      </w:tr>
      <w:tr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MBA Fit (MBA prep)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$20,000</w:t>
            </w:r>
          </w:p>
        </w:tc>
        <w:tc>
          <w:tcPr>
            <w:tcW w:type="dxa" w:w="1872"/>
            <w:shd w:val="clear" w:color="auto" w:fill="F9F6F1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$1,920,000</w:t>
            </w:r>
          </w:p>
        </w:tc>
      </w:tr>
      <w:tr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66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—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—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$13,920,000</w:t>
            </w:r>
          </w:p>
        </w:tc>
      </w:tr>
    </w:tbl>
    <w:p/>
    <w:p>
      <w:r>
        <w:rPr>
          <w:rFonts w:ascii="Calibri" w:hAnsi="Calibri"/>
          <w:b w:val="0"/>
          <w:color w:val="3D4F5E"/>
          <w:sz w:val="20"/>
        </w:rPr>
        <w:t>Network scale at full build-out: 960 new students/year | 3,840 active alumni (4-year window)</w:t>
      </w:r>
    </w:p>
    <w:p/>
    <w:p>
      <w:r>
        <w:rPr>
          <w:rFonts w:ascii="Calibri" w:hAnsi="Calibri"/>
          <w:b/>
          <w:color w:val="C05520"/>
          <w:sz w:val="26"/>
        </w:rPr>
        <w:t>BRAND ARCHITECTURE — THREE OPTIONS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1A1F3E"/>
          <w:sz w:val="22"/>
        </w:rPr>
        <w:t>A. Option A: RF Master Brand</w:t>
      </w:r>
    </w:p>
    <w:p>
      <w:r>
        <w:rPr>
          <w:rFonts w:ascii="Calibri" w:hAnsi="Calibri"/>
          <w:b w:val="0"/>
          <w:color w:val="3D4F5E"/>
          <w:sz w:val="20"/>
        </w:rPr>
        <w:t xml:space="preserve">   RF → master brand for all transitions. Extensions: RF Transfer, RF MedFit, RF LawFit, RF MBA Fit.</w:t>
      </w:r>
    </w:p>
    <w:p>
      <w:r>
        <w:rPr>
          <w:rFonts w:ascii="Calibri" w:hAnsi="Calibri"/>
          <w:b w:val="0"/>
          <w:color w:val="1B5E20"/>
          <w:sz w:val="20"/>
        </w:rPr>
        <w:t xml:space="preserve">   ✓ Pros: Single brand investment. Cross-sell across products. Works for Transfer. May feel less credible for med/law.</w:t>
      </w:r>
    </w:p>
    <w:p>
      <w:r>
        <w:rPr>
          <w:rFonts w:ascii="Calibri" w:hAnsi="Calibri"/>
          <w:b w:val="0"/>
          <w:color w:val="C0281E"/>
          <w:sz w:val="20"/>
        </w:rPr>
        <w:t xml:space="preserve">   ✗ Risk: Works for Transfer. Questionable for grad programs.</w:t>
      </w:r>
    </w:p>
    <w:p/>
    <w:p>
      <w:r>
        <w:rPr>
          <w:rFonts w:ascii="Calibri" w:hAnsi="Calibri"/>
          <w:b/>
          <w:color w:val="1A1F3E"/>
          <w:sz w:val="22"/>
        </w:rPr>
        <w:t>B. Option B: Separate Brands</w:t>
      </w:r>
    </w:p>
    <w:p>
      <w:r>
        <w:rPr>
          <w:rFonts w:ascii="Calibri" w:hAnsi="Calibri"/>
          <w:b w:val="0"/>
          <w:color w:val="3D4F5E"/>
          <w:sz w:val="20"/>
        </w:rPr>
        <w:t xml:space="preserve">   RF stays HS→College. New standalone brands for each transition.</w:t>
      </w:r>
    </w:p>
    <w:p>
      <w:r>
        <w:rPr>
          <w:rFonts w:ascii="Calibri" w:hAnsi="Calibri"/>
          <w:b w:val="0"/>
          <w:color w:val="1B5E20"/>
          <w:sz w:val="20"/>
        </w:rPr>
        <w:t xml:space="preserve">   ✓ Pros: Each brand owns its category clearly. No brand confusion.</w:t>
      </w:r>
    </w:p>
    <w:p>
      <w:r>
        <w:rPr>
          <w:rFonts w:ascii="Calibri" w:hAnsi="Calibri"/>
          <w:b w:val="0"/>
          <w:color w:val="C0281E"/>
          <w:sz w:val="20"/>
        </w:rPr>
        <w:t xml:space="preserve">   ✗ Risk: No leverage across products. More brand-building investment required.</w:t>
      </w:r>
    </w:p>
    <w:p/>
    <w:p>
      <w:r>
        <w:rPr>
          <w:rFonts w:ascii="Calibri" w:hAnsi="Calibri"/>
          <w:b/>
          <w:color w:val="1A1F3E"/>
          <w:sz w:val="22"/>
        </w:rPr>
        <w:t>C. Option C: Unified Philosophy, Multiple Products</w:t>
      </w:r>
    </w:p>
    <w:p>
      <w:r>
        <w:rPr>
          <w:rFonts w:ascii="Calibri" w:hAnsi="Calibri"/>
          <w:b w:val="0"/>
          <w:color w:val="3D4F5E"/>
          <w:sz w:val="20"/>
        </w:rPr>
        <w:t xml:space="preserve">   Real Frequency → 'The Cohort Method.' Shared positioning: fit-first, anti-prestige, cohort community. One coherent philosophy across all transitions.</w:t>
      </w:r>
    </w:p>
    <w:p>
      <w:r>
        <w:rPr>
          <w:rFonts w:ascii="Calibri" w:hAnsi="Calibri"/>
          <w:b w:val="0"/>
          <w:color w:val="1B5E20"/>
          <w:sz w:val="20"/>
        </w:rPr>
        <w:t xml:space="preserve">   ✓ Pros: No competitor is doing this in grad school markets. The cohort model is the delivery mechanism, not the brand. Philosophy is the brand.</w:t>
      </w:r>
    </w:p>
    <w:p>
      <w:r>
        <w:rPr>
          <w:rFonts w:ascii="Calibri" w:hAnsi="Calibri"/>
          <w:b w:val="0"/>
          <w:color w:val="C0281E"/>
          <w:sz w:val="20"/>
        </w:rPr>
        <w:t xml:space="preserve">   ✗ Risk: More upfront brand investment. But unique and defensible once established.</w:t>
      </w:r>
    </w:p>
    <w:p/>
    <w:p>
      <w:r>
        <w:rPr>
          <w:rFonts w:ascii="Calibri" w:hAnsi="Calibri"/>
          <w:b/>
          <w:color w:val="1A1F3E"/>
          <w:sz w:val="22"/>
        </w:rPr>
        <w:t>RECOMMENDATION: Option C — one coherent philosophy, multiple products.</w:t>
      </w:r>
    </w:p>
    <w:p>
      <w:r>
        <w:rPr>
          <w:rFonts w:ascii="Calibri" w:hAnsi="Calibri"/>
          <w:b w:val="0"/>
          <w:color w:val="1A1A2E"/>
          <w:sz w:val="20"/>
        </w:rPr>
        <w:br/>
        <w:t>The 'fit-first, anti-prestige' positioning works across ALL educational transitions.</w:t>
        <w:br/>
        <w:t>No competitor is doing this in the graduate school market.</w:t>
        <w:br/>
        <w:t>The cohort model is the delivery mechanism, not the brand.</w:t>
        <w:br/>
        <w:t>The shared philosophy IS the brand.</w:t>
        <w:br/>
        <w:br/>
        <w:t>In practice: Real Frequency becomes the company. 'The Cohort' is the methodology.</w:t>
        <w:br/>
        <w:t>Products carry their own names (MedFit, LawFit, MBA Fit, The Transfer)</w:t>
        <w:br/>
        <w:t>but all operate under the same core positioning.</w:t>
        <w:br/>
      </w:r>
    </w:p>
    <w:p/>
    <w:p>
      <w:r>
        <w:rPr>
          <w:rFonts w:ascii="Calibri" w:hAnsi="Calibri"/>
          <w:b/>
          <w:color w:val="C05520"/>
          <w:sz w:val="26"/>
        </w:rPr>
        <w:t>CRITICAL RISKS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Risk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Subject matter expertise gap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Med school, law school, and MBA admissions require deep domain knowledge different from undergrad admissions. RF would need advisors with direct experience in each domain — not generalist college counselors.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Market timing risk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Graduate school application volumes are sensitive to job market conditions. During economic downturns, applications surge. During hot job markets, applications drop. Revenue would be somewhat countercyclical.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Regulatory risk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Admissions consulting is largely unregulated in the US, but law school admissions consulting touches the legal profession. Medical school admissions touches medical ethics. MBA programs have business school ethics considerations.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Brand dilution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rFonts w:ascii="Calibri" w:hAnsi="Calibri"/>
                <w:sz w:val="20"/>
              </w:rPr>
              <w:t>Operating 5 different programs under one philosophy requires exceptional execution discipline. If the undergrad program has a quality issue, it could affect all brand extensions simultaneously.</w:t>
            </w:r>
          </w:p>
        </w:tc>
      </w:tr>
      <w:tr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Pricing ceiling in transfer market</w:t>
            </w:r>
          </w:p>
        </w:tc>
        <w:tc>
          <w:tcPr>
            <w:tcW w:type="dxa" w:w="4680"/>
            <w:shd w:val="clear" w:color="auto" w:fill="F9F6F1"/>
          </w:tcPr>
          <w:p>
            <w:r>
              <w:rPr>
                <w:rFonts w:ascii="Calibri" w:hAnsi="Calibri"/>
                <w:sz w:val="20"/>
              </w:rPr>
              <w:t>$5,000–$8,000 for a transfer program is a harder sell than $15,000 for undergrad. Transfer students and their families have lower discretionary income on average. Price sensitivity is a real constraint.</w:t>
            </w:r>
          </w:p>
        </w:tc>
      </w:tr>
    </w:tbl>
    <w:p/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