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A1F3E"/>
          <w:sz w:val="56"/>
        </w:rPr>
        <w:t>CLARITY PREP</w:t>
      </w:r>
    </w:p>
    <w:p>
      <w:pPr>
        <w:jc w:val="center"/>
      </w:pPr>
      <w:r>
        <w:rPr>
          <w:rFonts w:ascii="Calibri" w:hAnsi="Calibri"/>
          <w:color w:val="C05520"/>
          <w:sz w:val="28"/>
        </w:rPr>
        <w:t>Operational &amp; Financial Model — Scale Blueprint</w:t>
      </w:r>
    </w:p>
    <w:p/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8"/>
        </w:rPr>
        <w:t>Core Assumptions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Parameter</w:t>
            </w:r>
          </w:p>
        </w:tc>
        <w:tc>
          <w:tcPr>
            <w:tcW w:type="dxa" w:w="468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Cohort price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$15,000 per student (12-month program)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Cohort size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16 students target, rolling admissions (launch at 8 committed)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Scholarships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1–5 per cohort, avg $1,250 = $3,750/cohort discount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Advisor model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1 advisor FTE runs 3 cohorts/year = 48 students/year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Advisor all-in cost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$95,000 (salary + bonus + payroll tax + benefits)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Ops ratio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1 ops FTE per 3 advisor FTE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Marketing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12–15% of gross revenue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Enrollment conversion target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25% of inquiries → enrolled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Waitlist trigger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Cohort hits 12 committed → next launch opens waitlist</w:t>
            </w:r>
          </w:p>
        </w:tc>
      </w:tr>
      <w:tr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Rolling admissions</w:t>
            </w:r>
          </w:p>
        </w:tc>
        <w:tc>
          <w:tcPr>
            <w:tcW w:type="dxa" w:w="4680"/>
          </w:tcPr>
          <w:p>
            <w:r>
              <w:rPr>
                <w:rFonts w:ascii="Calibri" w:hAnsi="Calibri"/>
                <w:sz w:val="20"/>
              </w:rPr>
              <w:t>New cohort launches as soon as 8 students committed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Revenue Model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Students/Year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Gross Revenue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Net Revenue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4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64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$960,000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$945,000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8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128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$1,920,000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$1,890,000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12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192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$2,880,000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$2,835,000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2 — 16 cohorts × 19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304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$4,560,000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$4,500,000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2 — 24 cohorts × 20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480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$7,200,000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$7,110,000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3 — 30 cohorts × 20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600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$9,000,000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$8,887,500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Operating Cost Model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Gross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Advisor Cost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Ops Cost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Mkt (12%)</w:t>
            </w:r>
          </w:p>
        </w:tc>
        <w:tc>
          <w:tcPr>
            <w:tcW w:type="dxa" w:w="1337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EBITDA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1 — 4 cohorts × 16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$960,000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$126,667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$55,000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$115,200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$648,133 (69%)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1 — 8 cohorts × 16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$1,920,000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$253,333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$55,000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$230,400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$1,351,267 (71%)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1 — 12 cohorts × 16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$2,880,000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$380,000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$127,000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$345,600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$1,982,400 (70%)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2 — 16 cohorts × 19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$4,560,000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$506,667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$127,000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$547,200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$3,319,133 (74%)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2 — 24 cohorts × 20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$7,200,000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$760,000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$260,000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$864,000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$5,226,000 (74%)</w:t>
            </w:r>
          </w:p>
        </w:tc>
      </w:tr>
      <w:tr>
        <w:tc>
          <w:tcPr>
            <w:tcW w:type="dxa" w:w="1337"/>
          </w:tcPr>
          <w:p>
            <w:r>
              <w:rPr>
                <w:rFonts w:ascii="Calibri" w:hAnsi="Calibri"/>
                <w:b/>
                <w:sz w:val="20"/>
              </w:rPr>
              <w:t>Year 3 — 30 cohorts × 20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$9,000,000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$950,000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$305,000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color w:val="C05520"/>
                <w:sz w:val="20"/>
              </w:rPr>
              <w:t>$1,080,000</w:t>
            </w:r>
          </w:p>
        </w:tc>
        <w:tc>
          <w:tcPr>
            <w:tcW w:type="dxa" w:w="1337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$6,552,500 (74%)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Headcount by Phase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Cohorts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Advisor FTE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Ops FTE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Total FTE</w:t>
            </w:r>
          </w:p>
        </w:tc>
        <w:tc>
          <w:tcPr>
            <w:tcW w:type="dxa" w:w="156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Students/FTE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1 — 4 cohorts × 16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1.3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2.3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27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1 — 8 cohorts × 16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2.7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3.7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35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1 — 12 cohorts × 16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4.0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6.0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32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2 — 16 cohorts × 19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5.3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7.3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41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2 — 24 cohorts × 20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8.0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4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12.0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40</w:t>
            </w:r>
          </w:p>
        </w:tc>
      </w:tr>
      <w:tr>
        <w:tc>
          <w:tcPr>
            <w:tcW w:type="dxa" w:w="1560"/>
          </w:tcPr>
          <w:p>
            <w:r>
              <w:rPr>
                <w:rFonts w:ascii="Calibri" w:hAnsi="Calibri"/>
                <w:b/>
                <w:sz w:val="20"/>
              </w:rPr>
              <w:t>Year 3 — 30 cohorts × 20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10.0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6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16.0</w:t>
            </w:r>
          </w:p>
        </w:tc>
        <w:tc>
          <w:tcPr>
            <w:tcW w:type="dxa" w:w="156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38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Hiring Sequence: Phase 1 → Phase 2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Cost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1, 0–4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Enrollment Coordinator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$55,000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Handles inquiries, enrollment, scheduling — core constraint from day 1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1, 4–8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Senior Advisor #2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$95,000 all-in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Justified when 3+ confirmed cohorts exist — never before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1, 8–12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Senior Advisor #3 + #4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$95,000 each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Two more advisors as cohort pipeline confirms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1, 12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Program Operations Manager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$72,000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Enrollment Coordinator promoted or new hire — too much for 1 person at this scale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2, 12–20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Marketing Lead + Student Success Mgr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$68K + $65K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Marketing Lead drives fill rate; Student Success Manager retains and tracks outcomes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Year 2, 20–30 cohorts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Ops Associates ×2 + Admissions Support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$45K–$50K each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sz w:val="20"/>
              </w:rPr>
              <w:t>Operations scales; admissions support handles volume without burning out core team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Marketing Spend at Scale</w:t>
      </w:r>
    </w:p>
    <w:p>
      <w:pPr>
        <w:pBdr>
          <w:bottom w:val="single" w:sz="6" w:space="1" w:color="C05520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Gross Revenue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Mkt Spend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% of Gross</w:t>
            </w:r>
          </w:p>
        </w:tc>
        <w:tc>
          <w:tcPr>
            <w:tcW w:type="dxa" w:w="1872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CPL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4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$960,000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$115,200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8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$1,920,000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$230,400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1 — 12 cohorts × 16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$2,880,000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$345,600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2 — 16 cohorts × 19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$4,560,000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$547,200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2 — 24 cohorts × 20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$7,200,000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$864,000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  <w:tr>
        <w:tc>
          <w:tcPr>
            <w:tcW w:type="dxa" w:w="1872"/>
          </w:tcPr>
          <w:p>
            <w:r>
              <w:rPr>
                <w:rFonts w:ascii="Calibri" w:hAnsi="Calibri"/>
                <w:b/>
                <w:sz w:val="20"/>
              </w:rPr>
              <w:t>Year 3 — 30 cohorts × 20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$9,000,000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$1,080,000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sz w:val="20"/>
              </w:rPr>
              <w:t>12%</w:t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color w:val="C05520"/>
                <w:sz w:val="20"/>
              </w:rPr>
              <w:t>$1800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Alumni Network Value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 w:val="0"/>
          <w:color w:val="3D4F5E"/>
          <w:sz w:val="20"/>
        </w:rPr>
        <w:t>4-year rolling active network (students in college + recent alumni)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New Students/Yr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Active Alumni (4-yr)</w:t>
            </w:r>
          </w:p>
        </w:tc>
        <w:tc>
          <w:tcPr>
            <w:tcW w:type="dxa" w:w="2340"/>
            <w:shd w:val="clear" w:color="auto" w:fill="1A1F3E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Referral Families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1 — 4 cohorts × 16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64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256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76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1 — 8 cohorts × 16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128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512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153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1 — 12 cohorts × 16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192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768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230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2 — 16 cohorts × 19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304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1,216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364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2 — 24 cohorts × 20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480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1,920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576</w:t>
            </w:r>
          </w:p>
        </w:tc>
      </w:tr>
      <w:tr>
        <w:tc>
          <w:tcPr>
            <w:tcW w:type="dxa" w:w="2340"/>
          </w:tcPr>
          <w:p>
            <w:r>
              <w:rPr>
                <w:rFonts w:ascii="Calibri" w:hAnsi="Calibri"/>
                <w:b/>
                <w:sz w:val="20"/>
              </w:rPr>
              <w:t>Year 3 — 30 cohorts × 20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600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2,400</w:t>
            </w:r>
          </w:p>
        </w:tc>
        <w:tc>
          <w:tcPr>
            <w:tcW w:type="dxa" w:w="2340"/>
          </w:tcPr>
          <w:p>
            <w:r>
              <w:rPr>
                <w:rFonts w:ascii="Calibri" w:hAnsi="Calibri"/>
                <w:b/>
                <w:color w:val="C05520"/>
                <w:sz w:val="20"/>
              </w:rPr>
              <w:t>720</w:t>
            </w:r>
          </w:p>
        </w:tc>
      </w:tr>
    </w:tbl>
    <w:p/>
    <w:p>
      <w:r>
        <w:rPr>
          <w:rFonts w:ascii="Calibri" w:hAnsi="Calibri"/>
          <w:b/>
          <w:color w:val="C05520"/>
          <w:sz w:val="28"/>
        </w:rPr>
        <w:t>Operational Non-Negotiables</w:t>
      </w:r>
    </w:p>
    <w:p>
      <w:pPr>
        <w:pBdr>
          <w:bottom w:val="single" w:sz="6" w:space="1" w:color="C05520"/>
        </w:pBdr>
      </w:pPr>
    </w:p>
    <w:p>
      <w:r>
        <w:rPr>
          <w:rFonts w:ascii="Calibri" w:hAnsi="Calibri"/>
          <w:b/>
          <w:color w:val="C05520"/>
          <w:sz w:val="22"/>
        </w:rPr>
        <w:t xml:space="preserve">▸ Cohort fill rate: </w:t>
      </w:r>
      <w:r>
        <w:rPr>
          <w:rFonts w:ascii="Calibri" w:hAnsi="Calibri"/>
          <w:color w:val="1A1A2E"/>
          <w:sz w:val="22"/>
        </w:rPr>
        <w:t>Target 90%+ (≤1.6 empty seats/cohort). Every empty seat = $15K missed revenue.</w:t>
      </w:r>
    </w:p>
    <w:p>
      <w:r>
        <w:rPr>
          <w:rFonts w:ascii="Calibri" w:hAnsi="Calibri"/>
          <w:b/>
          <w:color w:val="C05520"/>
          <w:sz w:val="22"/>
        </w:rPr>
        <w:t xml:space="preserve">▸ Advisor utilization floor: </w:t>
      </w:r>
      <w:r>
        <w:rPr>
          <w:rFonts w:ascii="Calibri" w:hAnsi="Calibri"/>
          <w:color w:val="1A1A2E"/>
          <w:sz w:val="22"/>
        </w:rPr>
        <w:t>3 cohorts/FTE/year. If advisor is at 2 cohorts, hire another student before adding advisor.</w:t>
      </w:r>
    </w:p>
    <w:p>
      <w:r>
        <w:rPr>
          <w:rFonts w:ascii="Calibri" w:hAnsi="Calibri"/>
          <w:b/>
          <w:color w:val="C05520"/>
          <w:sz w:val="22"/>
        </w:rPr>
        <w:t xml:space="preserve">▸ Ops ratio ceiling: </w:t>
      </w:r>
      <w:r>
        <w:rPr>
          <w:rFonts w:ascii="Calibri" w:hAnsi="Calibri"/>
          <w:color w:val="1A1A2E"/>
          <w:sz w:val="22"/>
        </w:rPr>
        <w:t>1 ops FTE per 3 advisor FTE. If ops is &gt;30% of headcount, automate or reorganize.</w:t>
      </w:r>
    </w:p>
    <w:p>
      <w:r>
        <w:rPr>
          <w:rFonts w:ascii="Calibri" w:hAnsi="Calibri"/>
          <w:b/>
          <w:color w:val="C05520"/>
          <w:sz w:val="22"/>
        </w:rPr>
        <w:t xml:space="preserve">▸ Marketing CPL cap: </w:t>
      </w:r>
      <w:r>
        <w:rPr>
          <w:rFonts w:ascii="Calibri" w:hAnsi="Calibri"/>
          <w:color w:val="1A1A2E"/>
          <w:sz w:val="22"/>
        </w:rPr>
        <w:t>$250/student enrolled. If CPL exceeds this, channel mix is wrong.</w:t>
      </w:r>
    </w:p>
    <w:p>
      <w:r>
        <w:rPr>
          <w:rFonts w:ascii="Calibri" w:hAnsi="Calibri"/>
          <w:b/>
          <w:color w:val="C05520"/>
          <w:sz w:val="22"/>
        </w:rPr>
        <w:t xml:space="preserve">▸ Enrollment conversion: </w:t>
      </w:r>
      <w:r>
        <w:rPr>
          <w:rFonts w:ascii="Calibri" w:hAnsi="Calibri"/>
          <w:color w:val="1A1A2E"/>
          <w:sz w:val="22"/>
        </w:rPr>
        <w:t>25% of inquiries → enrolled. Below this, fix the inquiry-to-call conversion before spending more on traffic.</w:t>
      </w:r>
    </w:p>
    <w:p>
      <w:r>
        <w:rPr>
          <w:rFonts w:ascii="Calibri" w:hAnsi="Calibri"/>
          <w:b/>
          <w:color w:val="C05520"/>
          <w:sz w:val="22"/>
        </w:rPr>
        <w:t xml:space="preserve">▸ Waitlist discipline: </w:t>
      </w:r>
      <w:r>
        <w:rPr>
          <w:rFonts w:ascii="Calibri" w:hAnsi="Calibri"/>
          <w:color w:val="1A1A2E"/>
          <w:sz w:val="22"/>
        </w:rPr>
        <w:t>Open next cohort launch at 12 committed. Don't hold seats for uncertain prospects.</w:t>
      </w:r>
    </w:p>
    <w:p>
      <w:r>
        <w:rPr>
          <w:rFonts w:ascii="Calibri" w:hAnsi="Calibri"/>
          <w:b/>
          <w:color w:val="C05520"/>
          <w:sz w:val="22"/>
        </w:rPr>
        <w:t xml:space="preserve">▸ Scholarship budget: </w:t>
      </w:r>
      <w:r>
        <w:rPr>
          <w:rFonts w:ascii="Calibri" w:hAnsi="Calibri"/>
          <w:color w:val="1A1A2E"/>
          <w:sz w:val="22"/>
        </w:rPr>
        <w:t>$3,750/cohort (2.5% of gross). Not a marketing expense — a selectivity signal.</w:t>
      </w:r>
    </w:p>
    <w:p>
      <w:r>
        <w:rPr>
          <w:rFonts w:ascii="Calibri" w:hAnsi="Calibri"/>
          <w:b/>
          <w:color w:val="C05520"/>
          <w:sz w:val="22"/>
        </w:rPr>
        <w:t xml:space="preserve">▸ Rolling launch trigger: </w:t>
      </w:r>
      <w:r>
        <w:rPr>
          <w:rFonts w:ascii="Calibri" w:hAnsi="Calibri"/>
          <w:color w:val="1A1A2E"/>
          <w:sz w:val="22"/>
        </w:rPr>
        <w:t>8 committed students = green light to launch next cohort. Don't wait for 16.</w:t>
      </w:r>
    </w:p>
    <w:p/>
    <w:p>
      <w:pPr>
        <w:pBdr>
          <w:bottom w:val="single" w:sz="6" w:space="1" w:color="C05520"/>
        </w:pBdr>
      </w:pP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